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B0C0" w14:textId="77777777" w:rsidR="003753E1" w:rsidRPr="003753E1" w:rsidRDefault="003753E1" w:rsidP="003753E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6"/>
        </w:rPr>
      </w:pPr>
    </w:p>
    <w:p w14:paraId="2014A758" w14:textId="77777777" w:rsidR="00215381" w:rsidRDefault="00215381" w:rsidP="003753E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15381">
        <w:t>C</w:t>
      </w:r>
      <w:r>
        <w:t>harte des</w:t>
      </w:r>
      <w:proofErr w:type="gramStart"/>
      <w:r w:rsidRPr="00215381">
        <w:t xml:space="preserve"> «Centre</w:t>
      </w:r>
      <w:r w:rsidR="008F174E">
        <w:t>s</w:t>
      </w:r>
      <w:proofErr w:type="gramEnd"/>
      <w:r w:rsidRPr="00215381">
        <w:t xml:space="preserve"> d’Aide aux Fumeurs» </w:t>
      </w:r>
      <w:r w:rsidR="00A470B6">
        <w:t>(</w:t>
      </w:r>
      <w:r w:rsidRPr="00215381">
        <w:t>CAF</w:t>
      </w:r>
      <w:r w:rsidR="00A470B6">
        <w:t>)</w:t>
      </w:r>
      <w:r w:rsidR="00E964EA">
        <w:t xml:space="preserve"> en 10 points</w:t>
      </w:r>
    </w:p>
    <w:p w14:paraId="53649C88" w14:textId="77777777" w:rsidR="003753E1" w:rsidRPr="003753E1" w:rsidRDefault="003753E1" w:rsidP="00375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"/>
          <w:lang w:val="fr-FR"/>
        </w:rPr>
      </w:pPr>
    </w:p>
    <w:p w14:paraId="55D5E4C6" w14:textId="77777777" w:rsidR="003753E1" w:rsidRPr="003753E1" w:rsidRDefault="003753E1" w:rsidP="003753E1">
      <w:pPr>
        <w:rPr>
          <w:lang w:val="fr-FR"/>
        </w:rPr>
      </w:pPr>
    </w:p>
    <w:p w14:paraId="09B651D4" w14:textId="77777777" w:rsidR="00BF4983" w:rsidRDefault="00BF4983" w:rsidP="00BF4983">
      <w:pPr>
        <w:shd w:val="clear" w:color="auto" w:fill="FFFFFF"/>
        <w:rPr>
          <w:rFonts w:ascii="Arial Narrow" w:hAnsi="Arial Narrow"/>
        </w:rPr>
      </w:pPr>
      <w:r w:rsidRPr="00A72C4E">
        <w:rPr>
          <w:rFonts w:ascii="Arial Narrow" w:hAnsi="Arial Narrow"/>
        </w:rPr>
        <w:t xml:space="preserve">L’appellation « Centre d’Aide aux Fumeurs - CAF » </w:t>
      </w:r>
      <w:r w:rsidR="00CE3145">
        <w:rPr>
          <w:rFonts w:ascii="Arial Narrow" w:hAnsi="Arial Narrow"/>
        </w:rPr>
        <w:t>est une marque déposée</w:t>
      </w:r>
      <w:r w:rsidRPr="00A72C4E">
        <w:rPr>
          <w:rFonts w:ascii="Arial Narrow" w:hAnsi="Arial Narrow"/>
        </w:rPr>
        <w:t xml:space="preserve"> par le Fonds des Affections Respiratoires</w:t>
      </w:r>
      <w:r w:rsidR="00A470B6">
        <w:rPr>
          <w:rFonts w:ascii="Arial Narrow" w:hAnsi="Arial Narrow"/>
        </w:rPr>
        <w:t xml:space="preserve"> (</w:t>
      </w:r>
      <w:r w:rsidR="00CE3145">
        <w:rPr>
          <w:rFonts w:ascii="Arial Narrow" w:hAnsi="Arial Narrow"/>
        </w:rPr>
        <w:t>FARES</w:t>
      </w:r>
      <w:r w:rsidR="00A470B6">
        <w:rPr>
          <w:rFonts w:ascii="Arial Narrow" w:hAnsi="Arial Narrow"/>
        </w:rPr>
        <w:t>)</w:t>
      </w:r>
      <w:r w:rsidR="00CE3145">
        <w:rPr>
          <w:rFonts w:ascii="Arial Narrow" w:hAnsi="Arial Narrow"/>
        </w:rPr>
        <w:t>. Seul</w:t>
      </w:r>
      <w:r w:rsidRPr="00A72C4E">
        <w:rPr>
          <w:rFonts w:ascii="Arial Narrow" w:hAnsi="Arial Narrow"/>
        </w:rPr>
        <w:t xml:space="preserve"> </w:t>
      </w:r>
      <w:r w:rsidR="00A470B6">
        <w:rPr>
          <w:rFonts w:ascii="Arial Narrow" w:hAnsi="Arial Narrow"/>
        </w:rPr>
        <w:t>le</w:t>
      </w:r>
      <w:r w:rsidRPr="00A72C4E">
        <w:rPr>
          <w:rFonts w:ascii="Arial Narrow" w:hAnsi="Arial Narrow"/>
        </w:rPr>
        <w:t xml:space="preserve"> Conseil d’Administration </w:t>
      </w:r>
      <w:r w:rsidR="00A470B6">
        <w:rPr>
          <w:rFonts w:ascii="Arial Narrow" w:hAnsi="Arial Narrow"/>
        </w:rPr>
        <w:t xml:space="preserve">de ce Fonds </w:t>
      </w:r>
      <w:r w:rsidRPr="00A72C4E">
        <w:rPr>
          <w:rFonts w:ascii="Arial Narrow" w:hAnsi="Arial Narrow"/>
        </w:rPr>
        <w:t>est habilité à octroyer cette dénomination</w:t>
      </w:r>
      <w:r w:rsidR="00CE3145">
        <w:rPr>
          <w:rFonts w:ascii="Arial Narrow" w:hAnsi="Arial Narrow"/>
        </w:rPr>
        <w:t>, pour 2 ans,</w:t>
      </w:r>
      <w:r w:rsidRPr="00A72C4E">
        <w:rPr>
          <w:rFonts w:ascii="Arial Narrow" w:hAnsi="Arial Narrow"/>
        </w:rPr>
        <w:t xml:space="preserve"> sur avis du Comité Scientifique Interuniversitaire de Gestion du Tabagisme (CSIGT). </w:t>
      </w:r>
      <w:r w:rsidR="00CE3145">
        <w:rPr>
          <w:rFonts w:ascii="Arial Narrow" w:hAnsi="Arial Narrow"/>
        </w:rPr>
        <w:t>En cas de</w:t>
      </w:r>
      <w:r w:rsidRPr="00A72C4E">
        <w:rPr>
          <w:rFonts w:ascii="Arial Narrow" w:hAnsi="Arial Narrow"/>
        </w:rPr>
        <w:t xml:space="preserve"> modification structurelle ou mét</w:t>
      </w:r>
      <w:r w:rsidR="00CE3145">
        <w:rPr>
          <w:rFonts w:ascii="Arial Narrow" w:hAnsi="Arial Narrow"/>
        </w:rPr>
        <w:t>hodologique</w:t>
      </w:r>
      <w:r w:rsidR="00A470B6">
        <w:rPr>
          <w:rFonts w:ascii="Arial Narrow" w:hAnsi="Arial Narrow"/>
        </w:rPr>
        <w:t xml:space="preserve"> du CAF</w:t>
      </w:r>
      <w:r w:rsidR="00CE3145">
        <w:rPr>
          <w:rFonts w:ascii="Arial Narrow" w:hAnsi="Arial Narrow"/>
        </w:rPr>
        <w:t xml:space="preserve">, </w:t>
      </w:r>
      <w:r w:rsidR="00CE3145" w:rsidRPr="00A72C4E">
        <w:rPr>
          <w:rFonts w:ascii="Arial Narrow" w:hAnsi="Arial Narrow"/>
        </w:rPr>
        <w:t>pouvant port</w:t>
      </w:r>
      <w:r w:rsidR="00CE3145">
        <w:rPr>
          <w:rFonts w:ascii="Arial Narrow" w:hAnsi="Arial Narrow"/>
        </w:rPr>
        <w:t>er préjudice à l’appellation accordée, le FARES se réserve le droit de revoir sa position</w:t>
      </w:r>
      <w:r w:rsidRPr="00A72C4E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326DF9F3" w14:textId="77777777" w:rsidR="00BF4983" w:rsidRDefault="00BF4983" w:rsidP="00BF4983">
      <w:pPr>
        <w:shd w:val="clear" w:color="auto" w:fill="FFFFFF"/>
        <w:rPr>
          <w:rFonts w:ascii="Arial Narrow" w:hAnsi="Arial Narrow"/>
        </w:rPr>
      </w:pPr>
    </w:p>
    <w:p w14:paraId="401AA124" w14:textId="77777777" w:rsidR="006932C2" w:rsidRDefault="00215381" w:rsidP="00BF4983">
      <w:pPr>
        <w:shd w:val="clear" w:color="auto" w:fill="FFFFFF"/>
        <w:rPr>
          <w:rFonts w:ascii="Arial Narrow" w:hAnsi="Arial Narrow"/>
        </w:rPr>
      </w:pPr>
      <w:r>
        <w:rPr>
          <w:rFonts w:ascii="Arial Narrow" w:hAnsi="Arial Narrow"/>
        </w:rPr>
        <w:t xml:space="preserve">L’octroi de cette dénomination requiert un engagement de l’institution demandeuse en termes d’assurance de qualité. Ainsi, </w:t>
      </w:r>
      <w:r w:rsidR="00381022">
        <w:rPr>
          <w:rFonts w:ascii="Arial Narrow" w:hAnsi="Arial Narrow"/>
        </w:rPr>
        <w:t>l</w:t>
      </w:r>
      <w:r w:rsidR="006932C2">
        <w:rPr>
          <w:rFonts w:ascii="Arial Narrow" w:hAnsi="Arial Narrow"/>
        </w:rPr>
        <w:t>’institution</w:t>
      </w:r>
      <w:r w:rsidR="00FA75C0">
        <w:rPr>
          <w:rFonts w:ascii="Arial Narrow" w:hAnsi="Arial Narrow"/>
        </w:rPr>
        <w:t>,</w:t>
      </w:r>
      <w:r w:rsidR="006932C2">
        <w:rPr>
          <w:rFonts w:ascii="Arial Narrow" w:hAnsi="Arial Narrow"/>
        </w:rPr>
        <w:t xml:space="preserve"> représentée par un responsable médical garant de l’assurance de qualité et un responsable administratif garant des moyens dégagés</w:t>
      </w:r>
      <w:r w:rsidR="00FA75C0">
        <w:rPr>
          <w:rFonts w:ascii="Arial Narrow" w:hAnsi="Arial Narrow"/>
        </w:rPr>
        <w:t>,</w:t>
      </w:r>
      <w:r w:rsidR="00DF75E1">
        <w:rPr>
          <w:rFonts w:ascii="Arial Narrow" w:hAnsi="Arial Narrow"/>
        </w:rPr>
        <w:t xml:space="preserve"> </w:t>
      </w:r>
      <w:r w:rsidR="006932C2">
        <w:rPr>
          <w:rFonts w:ascii="Arial Narrow" w:hAnsi="Arial Narrow"/>
        </w:rPr>
        <w:t>s’engage à :</w:t>
      </w:r>
    </w:p>
    <w:p w14:paraId="58A4AEF4" w14:textId="77777777" w:rsidR="006932C2" w:rsidRDefault="006932C2" w:rsidP="00BF4983">
      <w:pPr>
        <w:shd w:val="clear" w:color="auto" w:fill="FFFFFF"/>
        <w:rPr>
          <w:rFonts w:ascii="Arial Narrow" w:hAnsi="Arial Narrow"/>
        </w:rPr>
      </w:pPr>
    </w:p>
    <w:p w14:paraId="40D8AE6B" w14:textId="77777777" w:rsidR="00BF4983" w:rsidRPr="001D3924" w:rsidRDefault="00A30BE2" w:rsidP="00BF4983">
      <w:pPr>
        <w:pStyle w:val="Paragraphedeliste"/>
        <w:numPr>
          <w:ilvl w:val="0"/>
          <w:numId w:val="2"/>
        </w:numPr>
        <w:shd w:val="clear" w:color="auto" w:fill="FFFFFF"/>
        <w:rPr>
          <w:rFonts w:ascii="Arial Narrow" w:hAnsi="Arial Narrow"/>
        </w:rPr>
      </w:pPr>
      <w:r>
        <w:rPr>
          <w:rFonts w:ascii="Arial Narrow" w:hAnsi="Arial Narrow"/>
        </w:rPr>
        <w:t>Constituer une</w:t>
      </w:r>
      <w:r w:rsidR="001038CD">
        <w:rPr>
          <w:rFonts w:ascii="Arial Narrow" w:hAnsi="Arial Narrow"/>
        </w:rPr>
        <w:t xml:space="preserve"> </w:t>
      </w:r>
      <w:r w:rsidR="001038CD" w:rsidRPr="003848A5">
        <w:rPr>
          <w:rFonts w:ascii="Arial Narrow" w:hAnsi="Arial Narrow"/>
          <w:b/>
        </w:rPr>
        <w:t>équipe pluridisciplinaire</w:t>
      </w:r>
      <w:r w:rsidR="001038CD">
        <w:rPr>
          <w:rFonts w:ascii="Arial Narrow" w:hAnsi="Arial Narrow"/>
        </w:rPr>
        <w:t xml:space="preserve"> </w:t>
      </w:r>
      <w:r w:rsidR="00917986">
        <w:rPr>
          <w:rFonts w:ascii="Arial Narrow" w:hAnsi="Arial Narrow"/>
          <w:b/>
        </w:rPr>
        <w:t>de professionnels de santé</w:t>
      </w:r>
      <w:r w:rsidR="00917986" w:rsidRPr="003848A5">
        <w:rPr>
          <w:rFonts w:ascii="Arial Narrow" w:hAnsi="Arial Narrow"/>
          <w:b/>
        </w:rPr>
        <w:t xml:space="preserve"> </w:t>
      </w:r>
      <w:r w:rsidR="00FA75C0">
        <w:rPr>
          <w:rFonts w:ascii="Arial Narrow" w:hAnsi="Arial Narrow"/>
        </w:rPr>
        <w:t xml:space="preserve">en vue de </w:t>
      </w:r>
      <w:r w:rsidR="00FA75C0" w:rsidRPr="00174BEF">
        <w:rPr>
          <w:rFonts w:ascii="Arial Narrow" w:hAnsi="Arial Narrow"/>
          <w:b/>
        </w:rPr>
        <w:t>proposer une aide au sevrage tabagique</w:t>
      </w:r>
      <w:r w:rsidR="001D3924" w:rsidRPr="00174BEF">
        <w:rPr>
          <w:rFonts w:ascii="Arial Narrow" w:hAnsi="Arial Narrow"/>
          <w:b/>
        </w:rPr>
        <w:t xml:space="preserve"> à raison d’au moins ½ jour par semaine</w:t>
      </w:r>
      <w:r w:rsidR="00993E91">
        <w:rPr>
          <w:rFonts w:ascii="Arial Narrow" w:hAnsi="Arial Narrow"/>
        </w:rPr>
        <w:t>. D</w:t>
      </w:r>
      <w:r w:rsidR="001038CD">
        <w:rPr>
          <w:rFonts w:ascii="Arial Narrow" w:hAnsi="Arial Narrow"/>
        </w:rPr>
        <w:t>ésigner un responsable médical</w:t>
      </w:r>
      <w:r w:rsidR="00993E91">
        <w:rPr>
          <w:rFonts w:ascii="Arial Narrow" w:hAnsi="Arial Narrow"/>
        </w:rPr>
        <w:t xml:space="preserve"> garant des moyens thérapeutiques utilisés. Celui-ci sera</w:t>
      </w:r>
      <w:r w:rsidR="001038CD">
        <w:rPr>
          <w:rFonts w:ascii="Arial Narrow" w:hAnsi="Arial Narrow"/>
        </w:rPr>
        <w:t xml:space="preserve"> formé en tabacologie ou pou</w:t>
      </w:r>
      <w:r w:rsidR="00993E91">
        <w:rPr>
          <w:rFonts w:ascii="Arial Narrow" w:hAnsi="Arial Narrow"/>
        </w:rPr>
        <w:t>rra</w:t>
      </w:r>
      <w:r w:rsidR="001038CD">
        <w:rPr>
          <w:rFonts w:ascii="Arial Narrow" w:hAnsi="Arial Narrow"/>
        </w:rPr>
        <w:t xml:space="preserve"> démontrer un</w:t>
      </w:r>
      <w:r w:rsidR="00993E91">
        <w:rPr>
          <w:rFonts w:ascii="Arial Narrow" w:hAnsi="Arial Narrow"/>
        </w:rPr>
        <w:t xml:space="preserve">e expérience en ce </w:t>
      </w:r>
      <w:r w:rsidR="00993E91" w:rsidRPr="001D3924">
        <w:rPr>
          <w:rFonts w:ascii="Arial Narrow" w:hAnsi="Arial Narrow"/>
        </w:rPr>
        <w:t>domaine</w:t>
      </w:r>
      <w:r w:rsidR="00795EB2" w:rsidRPr="001D3924">
        <w:rPr>
          <w:rFonts w:ascii="Arial Narrow" w:hAnsi="Arial Narrow"/>
        </w:rPr>
        <w:t>.</w:t>
      </w:r>
    </w:p>
    <w:p w14:paraId="53A8084D" w14:textId="77777777" w:rsidR="00BF4983" w:rsidRPr="005273C0" w:rsidRDefault="00FA75C0" w:rsidP="00BF4983">
      <w:pPr>
        <w:pStyle w:val="Paragraphedeliste"/>
        <w:numPr>
          <w:ilvl w:val="0"/>
          <w:numId w:val="2"/>
        </w:numPr>
        <w:shd w:val="clear" w:color="auto" w:fill="FFFFFF"/>
        <w:rPr>
          <w:rFonts w:ascii="Arial Narrow" w:hAnsi="Arial Narrow"/>
        </w:rPr>
      </w:pPr>
      <w:r w:rsidRPr="001D3924">
        <w:rPr>
          <w:rFonts w:ascii="Arial Narrow" w:hAnsi="Arial Narrow"/>
          <w:b/>
        </w:rPr>
        <w:t>Mettre à disposition de l’équipe</w:t>
      </w:r>
      <w:r w:rsidR="00993E91" w:rsidRPr="001D3924">
        <w:rPr>
          <w:rFonts w:ascii="Arial Narrow" w:hAnsi="Arial Narrow"/>
          <w:b/>
        </w:rPr>
        <w:t>,</w:t>
      </w:r>
      <w:r w:rsidRPr="001D3924">
        <w:rPr>
          <w:rFonts w:ascii="Arial Narrow" w:hAnsi="Arial Narrow"/>
          <w:b/>
        </w:rPr>
        <w:t xml:space="preserve"> </w:t>
      </w:r>
      <w:r w:rsidRPr="001D3924">
        <w:rPr>
          <w:rFonts w:ascii="Arial Narrow" w:hAnsi="Arial Narrow"/>
        </w:rPr>
        <w:t>l’</w:t>
      </w:r>
      <w:r w:rsidR="001038CD" w:rsidRPr="001D3924">
        <w:rPr>
          <w:rFonts w:ascii="Arial Narrow" w:hAnsi="Arial Narrow"/>
        </w:rPr>
        <w:t xml:space="preserve">infrastructure (local, </w:t>
      </w:r>
      <w:proofErr w:type="gramStart"/>
      <w:r w:rsidR="001038CD" w:rsidRPr="001D3924">
        <w:rPr>
          <w:rFonts w:ascii="Arial Narrow" w:hAnsi="Arial Narrow"/>
        </w:rPr>
        <w:t>informatique,..</w:t>
      </w:r>
      <w:proofErr w:type="gramEnd"/>
      <w:r w:rsidR="001038CD" w:rsidRPr="001D3924">
        <w:rPr>
          <w:rFonts w:ascii="Arial Narrow" w:hAnsi="Arial Narrow"/>
        </w:rPr>
        <w:t>)</w:t>
      </w:r>
      <w:r w:rsidR="00A470B6" w:rsidRPr="001D3924">
        <w:rPr>
          <w:rFonts w:ascii="Arial Narrow" w:hAnsi="Arial Narrow"/>
        </w:rPr>
        <w:t>,</w:t>
      </w:r>
      <w:r w:rsidR="001038CD" w:rsidRPr="001D3924">
        <w:rPr>
          <w:rFonts w:ascii="Arial Narrow" w:hAnsi="Arial Narrow"/>
        </w:rPr>
        <w:t xml:space="preserve"> </w:t>
      </w:r>
      <w:r w:rsidRPr="001D3924">
        <w:rPr>
          <w:rFonts w:ascii="Arial Narrow" w:hAnsi="Arial Narrow"/>
        </w:rPr>
        <w:t>l</w:t>
      </w:r>
      <w:r w:rsidR="001038CD" w:rsidRPr="001D3924">
        <w:rPr>
          <w:rFonts w:ascii="Arial Narrow" w:hAnsi="Arial Narrow"/>
        </w:rPr>
        <w:t xml:space="preserve">e matériel médical </w:t>
      </w:r>
      <w:r w:rsidRPr="001D3924">
        <w:rPr>
          <w:rFonts w:ascii="Arial Narrow" w:hAnsi="Arial Narrow"/>
        </w:rPr>
        <w:t xml:space="preserve">nécessaire à </w:t>
      </w:r>
      <w:r w:rsidR="00A470B6" w:rsidRPr="001D3924">
        <w:rPr>
          <w:rFonts w:ascii="Arial Narrow" w:hAnsi="Arial Narrow"/>
        </w:rPr>
        <w:t>son</w:t>
      </w:r>
      <w:r w:rsidRPr="00550E74">
        <w:rPr>
          <w:rFonts w:ascii="Arial Narrow" w:hAnsi="Arial Narrow"/>
        </w:rPr>
        <w:t xml:space="preserve"> activité</w:t>
      </w:r>
      <w:r w:rsidR="001038CD" w:rsidRPr="00550E74">
        <w:rPr>
          <w:rFonts w:ascii="Arial Narrow" w:hAnsi="Arial Narrow"/>
        </w:rPr>
        <w:t xml:space="preserve"> (appareil de mesure d</w:t>
      </w:r>
      <w:r w:rsidR="00A470B6">
        <w:rPr>
          <w:rFonts w:ascii="Arial Narrow" w:hAnsi="Arial Narrow"/>
        </w:rPr>
        <w:t>u</w:t>
      </w:r>
      <w:r w:rsidR="001038CD" w:rsidRPr="00550E74">
        <w:rPr>
          <w:rFonts w:ascii="Arial Narrow" w:hAnsi="Arial Narrow"/>
        </w:rPr>
        <w:t xml:space="preserve"> CO</w:t>
      </w:r>
      <w:r w:rsidR="00A470B6">
        <w:rPr>
          <w:rFonts w:ascii="Arial Narrow" w:hAnsi="Arial Narrow"/>
        </w:rPr>
        <w:t>) et la</w:t>
      </w:r>
      <w:r w:rsidR="001038CD" w:rsidRPr="00550E74">
        <w:rPr>
          <w:rFonts w:ascii="Arial Narrow" w:hAnsi="Arial Narrow"/>
        </w:rPr>
        <w:t xml:space="preserve"> possibilité de recourir à des </w:t>
      </w:r>
      <w:r w:rsidR="00C830D7">
        <w:rPr>
          <w:rFonts w:ascii="Arial Narrow" w:hAnsi="Arial Narrow"/>
        </w:rPr>
        <w:t>dosages</w:t>
      </w:r>
      <w:r w:rsidR="001038CD" w:rsidRPr="00550E74">
        <w:rPr>
          <w:rFonts w:ascii="Arial Narrow" w:hAnsi="Arial Narrow"/>
        </w:rPr>
        <w:t xml:space="preserve"> de cotinine.</w:t>
      </w:r>
      <w:r w:rsidR="00F52E6E">
        <w:rPr>
          <w:rFonts w:ascii="Arial Narrow" w:hAnsi="Arial Narrow"/>
        </w:rPr>
        <w:t xml:space="preserve"> </w:t>
      </w:r>
    </w:p>
    <w:p w14:paraId="70534C1C" w14:textId="77777777" w:rsidR="007269E3" w:rsidRPr="00550E74" w:rsidRDefault="001038CD" w:rsidP="00BF4983">
      <w:pPr>
        <w:pStyle w:val="Paragraphedeliste"/>
        <w:numPr>
          <w:ilvl w:val="0"/>
          <w:numId w:val="2"/>
        </w:numPr>
        <w:shd w:val="clear" w:color="auto" w:fill="FFFFFF"/>
        <w:rPr>
          <w:rFonts w:ascii="Arial Narrow" w:hAnsi="Arial Narrow"/>
        </w:rPr>
      </w:pPr>
      <w:r w:rsidRPr="005273C0">
        <w:rPr>
          <w:rFonts w:ascii="Arial Narrow" w:hAnsi="Arial Narrow"/>
          <w:b/>
        </w:rPr>
        <w:t>Assurer l</w:t>
      </w:r>
      <w:r w:rsidR="00FA75C0" w:rsidRPr="005273C0">
        <w:rPr>
          <w:rFonts w:ascii="Arial Narrow" w:hAnsi="Arial Narrow"/>
          <w:b/>
        </w:rPr>
        <w:t>a</w:t>
      </w:r>
      <w:r w:rsidRPr="005273C0">
        <w:rPr>
          <w:rFonts w:ascii="Arial Narrow" w:hAnsi="Arial Narrow"/>
          <w:b/>
        </w:rPr>
        <w:t xml:space="preserve"> pluridisciplinarité</w:t>
      </w:r>
      <w:r w:rsidRPr="005273C0">
        <w:rPr>
          <w:rFonts w:ascii="Arial Narrow" w:hAnsi="Arial Narrow"/>
        </w:rPr>
        <w:t xml:space="preserve"> </w:t>
      </w:r>
      <w:r w:rsidR="00FA75C0" w:rsidRPr="005273C0">
        <w:rPr>
          <w:rFonts w:ascii="Arial Narrow" w:hAnsi="Arial Narrow"/>
          <w:b/>
        </w:rPr>
        <w:t>de l’équipe</w:t>
      </w:r>
      <w:r w:rsidR="00FA75C0" w:rsidRPr="005273C0">
        <w:rPr>
          <w:rFonts w:ascii="Arial Narrow" w:hAnsi="Arial Narrow"/>
        </w:rPr>
        <w:t xml:space="preserve"> </w:t>
      </w:r>
      <w:r w:rsidRPr="005273C0">
        <w:rPr>
          <w:rFonts w:ascii="Arial Narrow" w:hAnsi="Arial Narrow"/>
        </w:rPr>
        <w:t xml:space="preserve">en veillant à </w:t>
      </w:r>
      <w:r w:rsidR="00993E91" w:rsidRPr="005273C0">
        <w:rPr>
          <w:rFonts w:ascii="Arial Narrow" w:hAnsi="Arial Narrow"/>
        </w:rPr>
        <w:t>y intégrer,</w:t>
      </w:r>
      <w:r w:rsidR="00BA1913" w:rsidRPr="005273C0">
        <w:rPr>
          <w:rFonts w:ascii="Arial Narrow" w:hAnsi="Arial Narrow"/>
        </w:rPr>
        <w:t xml:space="preserve"> </w:t>
      </w:r>
      <w:r w:rsidR="008068F9" w:rsidRPr="005273C0">
        <w:rPr>
          <w:rFonts w:ascii="Arial Narrow" w:hAnsi="Arial Narrow"/>
        </w:rPr>
        <w:t>au moins</w:t>
      </w:r>
      <w:r w:rsidR="00993E91" w:rsidRPr="005273C0">
        <w:rPr>
          <w:rFonts w:ascii="Arial Narrow" w:hAnsi="Arial Narrow"/>
        </w:rPr>
        <w:t>,</w:t>
      </w:r>
      <w:r w:rsidR="008068F9" w:rsidRPr="005273C0">
        <w:rPr>
          <w:rFonts w:ascii="Arial Narrow" w:hAnsi="Arial Narrow"/>
        </w:rPr>
        <w:t xml:space="preserve"> </w:t>
      </w:r>
      <w:r w:rsidRPr="005273C0">
        <w:rPr>
          <w:rFonts w:ascii="Arial Narrow" w:hAnsi="Arial Narrow"/>
        </w:rPr>
        <w:t>un médecin</w:t>
      </w:r>
      <w:r w:rsidRPr="00550E74">
        <w:rPr>
          <w:rFonts w:ascii="Arial Narrow" w:hAnsi="Arial Narrow"/>
        </w:rPr>
        <w:t xml:space="preserve"> consultant </w:t>
      </w:r>
      <w:proofErr w:type="gramStart"/>
      <w:r w:rsidRPr="00550E74">
        <w:rPr>
          <w:rFonts w:ascii="Arial Narrow" w:hAnsi="Arial Narrow"/>
        </w:rPr>
        <w:t>assisté</w:t>
      </w:r>
      <w:proofErr w:type="gramEnd"/>
      <w:r w:rsidRPr="00550E74">
        <w:rPr>
          <w:rFonts w:ascii="Arial Narrow" w:hAnsi="Arial Narrow"/>
        </w:rPr>
        <w:t xml:space="preserve"> d’au moins un professionnel de santé </w:t>
      </w:r>
      <w:r w:rsidR="008068F9">
        <w:rPr>
          <w:rFonts w:ascii="Arial Narrow" w:hAnsi="Arial Narrow"/>
        </w:rPr>
        <w:t xml:space="preserve">/ psychologue </w:t>
      </w:r>
      <w:r w:rsidRPr="00550E74">
        <w:rPr>
          <w:rFonts w:ascii="Arial Narrow" w:hAnsi="Arial Narrow"/>
        </w:rPr>
        <w:t>formé en tabacologie</w:t>
      </w:r>
      <w:r w:rsidR="00BA1913" w:rsidRPr="00550E74">
        <w:rPr>
          <w:rFonts w:ascii="Arial Narrow" w:hAnsi="Arial Narrow"/>
        </w:rPr>
        <w:t xml:space="preserve"> et pouvoir </w:t>
      </w:r>
      <w:r w:rsidR="00993E91">
        <w:rPr>
          <w:rFonts w:ascii="Arial Narrow" w:hAnsi="Arial Narrow"/>
        </w:rPr>
        <w:t>recourir à d’autres disciplines</w:t>
      </w:r>
      <w:r w:rsidR="006932C2" w:rsidRPr="00550E74">
        <w:rPr>
          <w:rFonts w:ascii="Arial Narrow" w:hAnsi="Arial Narrow"/>
        </w:rPr>
        <w:t xml:space="preserve"> (</w:t>
      </w:r>
      <w:r w:rsidR="008068F9">
        <w:rPr>
          <w:rFonts w:ascii="Arial Narrow" w:hAnsi="Arial Narrow"/>
        </w:rPr>
        <w:t xml:space="preserve">infirmier, </w:t>
      </w:r>
      <w:r w:rsidR="006932C2" w:rsidRPr="00550E74">
        <w:rPr>
          <w:rFonts w:ascii="Arial Narrow" w:hAnsi="Arial Narrow"/>
        </w:rPr>
        <w:t>diététicien, kinésithérapeute, psychiatre, …).</w:t>
      </w:r>
      <w:r w:rsidR="00143FFF" w:rsidRPr="00550E74">
        <w:rPr>
          <w:rFonts w:ascii="Arial Narrow" w:hAnsi="Arial Narrow"/>
        </w:rPr>
        <w:t xml:space="preserve">  </w:t>
      </w:r>
    </w:p>
    <w:p w14:paraId="469BBBB8" w14:textId="77777777" w:rsidR="00BA1913" w:rsidRPr="00550E74" w:rsidRDefault="00BA1913" w:rsidP="00BF4983">
      <w:pPr>
        <w:pStyle w:val="Paragraphedeliste"/>
        <w:numPr>
          <w:ilvl w:val="0"/>
          <w:numId w:val="2"/>
        </w:numPr>
        <w:shd w:val="clear" w:color="auto" w:fill="FFFFFF"/>
        <w:rPr>
          <w:rFonts w:ascii="Arial Narrow" w:hAnsi="Arial Narrow"/>
        </w:rPr>
      </w:pPr>
      <w:r w:rsidRPr="00550E74">
        <w:rPr>
          <w:rFonts w:ascii="Arial Narrow" w:hAnsi="Arial Narrow"/>
          <w:b/>
        </w:rPr>
        <w:t>Favoriser</w:t>
      </w:r>
      <w:r w:rsidR="00FA75C0" w:rsidRPr="00550E74">
        <w:rPr>
          <w:rFonts w:ascii="Arial Narrow" w:hAnsi="Arial Narrow"/>
          <w:b/>
        </w:rPr>
        <w:t xml:space="preserve"> </w:t>
      </w:r>
      <w:r w:rsidRPr="00550E74">
        <w:rPr>
          <w:rFonts w:ascii="Arial Narrow" w:hAnsi="Arial Narrow"/>
          <w:b/>
        </w:rPr>
        <w:t>l’interdisciplinarité</w:t>
      </w:r>
      <w:r w:rsidRPr="00550E74">
        <w:rPr>
          <w:rFonts w:ascii="Arial Narrow" w:hAnsi="Arial Narrow"/>
        </w:rPr>
        <w:t xml:space="preserve"> </w:t>
      </w:r>
      <w:r w:rsidRPr="00550E74">
        <w:rPr>
          <w:rFonts w:ascii="Arial Narrow" w:hAnsi="Arial Narrow"/>
          <w:b/>
        </w:rPr>
        <w:t>et l’échange</w:t>
      </w:r>
      <w:r w:rsidR="00FA75C0" w:rsidRPr="00550E74">
        <w:rPr>
          <w:rFonts w:ascii="Arial Narrow" w:hAnsi="Arial Narrow"/>
          <w:b/>
        </w:rPr>
        <w:t xml:space="preserve"> au sein de l’équipe, </w:t>
      </w:r>
      <w:r w:rsidRPr="00550E74">
        <w:rPr>
          <w:rFonts w:ascii="Arial Narrow" w:hAnsi="Arial Narrow"/>
        </w:rPr>
        <w:t>dans une perspective d’approche globale de la santé du patient.</w:t>
      </w:r>
    </w:p>
    <w:p w14:paraId="5F7D4AE6" w14:textId="77777777" w:rsidR="006932C2" w:rsidRPr="00186733" w:rsidRDefault="006932C2" w:rsidP="00BF4983">
      <w:pPr>
        <w:pStyle w:val="Paragraphedeliste"/>
        <w:numPr>
          <w:ilvl w:val="0"/>
          <w:numId w:val="2"/>
        </w:numPr>
        <w:shd w:val="clear" w:color="auto" w:fill="FFFFFF"/>
        <w:rPr>
          <w:rFonts w:ascii="Arial Narrow" w:hAnsi="Arial Narrow"/>
        </w:rPr>
      </w:pPr>
      <w:r w:rsidRPr="00795EB2">
        <w:rPr>
          <w:rFonts w:ascii="Arial Narrow" w:hAnsi="Arial Narrow"/>
          <w:b/>
        </w:rPr>
        <w:t>Se conformer aux obligations prévues par l’AR du 31 août 2009</w:t>
      </w:r>
      <w:r w:rsidRPr="00795EB2">
        <w:rPr>
          <w:rFonts w:ascii="Arial Narrow" w:hAnsi="Arial Narrow"/>
        </w:rPr>
        <w:t xml:space="preserve"> </w:t>
      </w:r>
      <w:r w:rsidR="00917986">
        <w:rPr>
          <w:rFonts w:ascii="Arial Narrow" w:hAnsi="Arial Narrow"/>
        </w:rPr>
        <w:t xml:space="preserve">relatif à l’accompagnement du sevrage tabagique </w:t>
      </w:r>
      <w:r w:rsidRPr="00795EB2">
        <w:rPr>
          <w:rFonts w:ascii="Arial Narrow" w:hAnsi="Arial Narrow"/>
        </w:rPr>
        <w:t xml:space="preserve">(temps de consultation, dossier de suivi, remboursement </w:t>
      </w:r>
      <w:proofErr w:type="gramStart"/>
      <w:r w:rsidRPr="00795EB2">
        <w:rPr>
          <w:rFonts w:ascii="Arial Narrow" w:hAnsi="Arial Narrow"/>
        </w:rPr>
        <w:t>forfaitaire</w:t>
      </w:r>
      <w:r w:rsidR="00753D88" w:rsidRPr="00795EB2">
        <w:rPr>
          <w:rFonts w:ascii="Arial Narrow" w:hAnsi="Arial Narrow"/>
        </w:rPr>
        <w:t>,..</w:t>
      </w:r>
      <w:proofErr w:type="gramEnd"/>
      <w:r w:rsidR="00917986">
        <w:rPr>
          <w:rFonts w:ascii="Arial Narrow" w:hAnsi="Arial Narrow"/>
        </w:rPr>
        <w:t>) et</w:t>
      </w:r>
      <w:r w:rsidR="00795EB2">
        <w:rPr>
          <w:rFonts w:ascii="Arial Narrow" w:hAnsi="Arial Narrow"/>
        </w:rPr>
        <w:t xml:space="preserve"> </w:t>
      </w:r>
      <w:r w:rsidR="00795EB2" w:rsidRPr="00795EB2">
        <w:rPr>
          <w:rFonts w:ascii="Arial Narrow" w:hAnsi="Arial Narrow"/>
          <w:b/>
        </w:rPr>
        <w:t>d</w:t>
      </w:r>
      <w:r w:rsidRPr="00795EB2">
        <w:rPr>
          <w:rFonts w:ascii="Arial Narrow" w:hAnsi="Arial Narrow"/>
          <w:b/>
        </w:rPr>
        <w:t>resser un rapport comportant les informations de suivi tabacologique</w:t>
      </w:r>
      <w:r w:rsidRPr="00795EB2">
        <w:rPr>
          <w:rFonts w:ascii="Arial Narrow" w:hAnsi="Arial Narrow"/>
        </w:rPr>
        <w:t xml:space="preserve"> </w:t>
      </w:r>
      <w:r w:rsidR="00917986">
        <w:rPr>
          <w:rFonts w:ascii="Arial Narrow" w:hAnsi="Arial Narrow"/>
        </w:rPr>
        <w:t>à</w:t>
      </w:r>
      <w:r w:rsidRPr="00795EB2">
        <w:rPr>
          <w:rFonts w:ascii="Arial Narrow" w:hAnsi="Arial Narrow"/>
        </w:rPr>
        <w:t xml:space="preserve"> communiquer au médecin renseigné par le patient.</w:t>
      </w:r>
    </w:p>
    <w:p w14:paraId="64AF3737" w14:textId="77777777" w:rsidR="00795EB2" w:rsidRPr="00186733" w:rsidRDefault="00795EB2" w:rsidP="00795EB2">
      <w:pPr>
        <w:pStyle w:val="Paragraphedeliste"/>
        <w:numPr>
          <w:ilvl w:val="0"/>
          <w:numId w:val="2"/>
        </w:numPr>
        <w:shd w:val="clear" w:color="auto" w:fill="FFFFFF"/>
        <w:rPr>
          <w:rFonts w:ascii="Arial Narrow" w:hAnsi="Arial Narrow"/>
        </w:rPr>
      </w:pPr>
      <w:r w:rsidRPr="003848A5">
        <w:rPr>
          <w:rFonts w:ascii="Arial Narrow" w:hAnsi="Arial Narrow"/>
          <w:b/>
        </w:rPr>
        <w:t>Respecter la vocation sociale</w:t>
      </w:r>
      <w:r>
        <w:rPr>
          <w:rFonts w:ascii="Arial Narrow" w:hAnsi="Arial Narrow"/>
        </w:rPr>
        <w:t xml:space="preserve"> de la prise en charge des fumeurs en proposant un coût de </w:t>
      </w:r>
      <w:r w:rsidR="00550E74">
        <w:rPr>
          <w:rFonts w:ascii="Arial Narrow" w:hAnsi="Arial Narrow"/>
        </w:rPr>
        <w:t>« </w:t>
      </w:r>
      <w:r>
        <w:rPr>
          <w:rFonts w:ascii="Arial Narrow" w:hAnsi="Arial Narrow"/>
        </w:rPr>
        <w:t>consultation de tabacologie</w:t>
      </w:r>
      <w:r w:rsidR="00550E74">
        <w:rPr>
          <w:rFonts w:ascii="Arial Narrow" w:hAnsi="Arial Narrow"/>
        </w:rPr>
        <w:t> »</w:t>
      </w:r>
      <w:r>
        <w:rPr>
          <w:rFonts w:ascii="Arial Narrow" w:hAnsi="Arial Narrow"/>
        </w:rPr>
        <w:t xml:space="preserve"> le plus démocratique possible </w:t>
      </w:r>
      <w:r w:rsidR="00917986">
        <w:rPr>
          <w:rFonts w:ascii="Arial Narrow" w:hAnsi="Arial Narrow"/>
        </w:rPr>
        <w:t xml:space="preserve">pour </w:t>
      </w:r>
      <w:r>
        <w:rPr>
          <w:rFonts w:ascii="Arial Narrow" w:hAnsi="Arial Narrow"/>
        </w:rPr>
        <w:t xml:space="preserve">qu’il ne constitue pas un obstacle à son </w:t>
      </w:r>
      <w:r w:rsidRPr="003848A5">
        <w:rPr>
          <w:rFonts w:ascii="Arial Narrow" w:hAnsi="Arial Narrow"/>
          <w:b/>
        </w:rPr>
        <w:t>accessibilité.</w:t>
      </w:r>
      <w:r w:rsidR="00917986">
        <w:rPr>
          <w:rFonts w:ascii="Arial Narrow" w:hAnsi="Arial Narrow"/>
          <w:b/>
        </w:rPr>
        <w:t xml:space="preserve"> </w:t>
      </w:r>
      <w:r w:rsidR="00917986" w:rsidRPr="00550E74">
        <w:rPr>
          <w:rFonts w:ascii="Arial Narrow" w:hAnsi="Arial Narrow"/>
        </w:rPr>
        <w:t xml:space="preserve">Les patients peuvent être référés à d’autres professionnels de santé ou </w:t>
      </w:r>
      <w:r w:rsidR="0048716A" w:rsidRPr="00550E74">
        <w:rPr>
          <w:rFonts w:ascii="Arial Narrow" w:hAnsi="Arial Narrow"/>
        </w:rPr>
        <w:t xml:space="preserve">auprès d’un </w:t>
      </w:r>
      <w:r w:rsidR="00917986" w:rsidRPr="00550E74">
        <w:rPr>
          <w:rFonts w:ascii="Arial Narrow" w:hAnsi="Arial Narrow"/>
        </w:rPr>
        <w:t xml:space="preserve">laboratoire </w:t>
      </w:r>
      <w:r w:rsidR="0048716A" w:rsidRPr="00550E74">
        <w:rPr>
          <w:rFonts w:ascii="Arial Narrow" w:hAnsi="Arial Narrow"/>
        </w:rPr>
        <w:t xml:space="preserve">auquel cas tout honoraire y afférent doit être facturé indépendamment de la consultation de tabacologie. </w:t>
      </w:r>
      <w:r w:rsidR="00917986" w:rsidRPr="00550E74">
        <w:rPr>
          <w:rFonts w:ascii="Arial Narrow" w:hAnsi="Arial Narrow"/>
        </w:rPr>
        <w:t>S’il en marque le souhait</w:t>
      </w:r>
      <w:r w:rsidR="00993E91">
        <w:rPr>
          <w:rFonts w:ascii="Arial Narrow" w:hAnsi="Arial Narrow"/>
        </w:rPr>
        <w:t>,</w:t>
      </w:r>
      <w:r w:rsidR="00917986" w:rsidRPr="00550E74">
        <w:rPr>
          <w:rFonts w:ascii="Arial Narrow" w:hAnsi="Arial Narrow"/>
        </w:rPr>
        <w:t xml:space="preserve"> le patient </w:t>
      </w:r>
      <w:r w:rsidR="00993E91">
        <w:rPr>
          <w:rFonts w:ascii="Arial Narrow" w:hAnsi="Arial Narrow"/>
        </w:rPr>
        <w:t>peu</w:t>
      </w:r>
      <w:r w:rsidR="00917986" w:rsidRPr="00550E74">
        <w:rPr>
          <w:rFonts w:ascii="Arial Narrow" w:hAnsi="Arial Narrow"/>
        </w:rPr>
        <w:t xml:space="preserve">t </w:t>
      </w:r>
      <w:r w:rsidR="00993E91">
        <w:rPr>
          <w:rFonts w:ascii="Arial Narrow" w:hAnsi="Arial Narrow"/>
        </w:rPr>
        <w:t>a</w:t>
      </w:r>
      <w:r w:rsidR="00917986" w:rsidRPr="00550E74">
        <w:rPr>
          <w:rFonts w:ascii="Arial Narrow" w:hAnsi="Arial Narrow"/>
        </w:rPr>
        <w:t xml:space="preserve">voir la possibilité de ne recourir qu’à la consultation de tabacologie.  </w:t>
      </w:r>
    </w:p>
    <w:p w14:paraId="30E614C5" w14:textId="586B2518" w:rsidR="003848A5" w:rsidRDefault="003848A5" w:rsidP="00BF4983">
      <w:pPr>
        <w:pStyle w:val="Paragraphedeliste"/>
        <w:numPr>
          <w:ilvl w:val="0"/>
          <w:numId w:val="2"/>
        </w:numPr>
        <w:shd w:val="clear" w:color="auto" w:fill="FFFFFF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Pr="00A72C4E">
        <w:rPr>
          <w:rFonts w:ascii="Arial Narrow" w:hAnsi="Arial Narrow"/>
        </w:rPr>
        <w:t xml:space="preserve">ettre en œuvre tous les moyens destinés à </w:t>
      </w:r>
      <w:r w:rsidRPr="003848A5">
        <w:rPr>
          <w:rFonts w:ascii="Arial Narrow" w:hAnsi="Arial Narrow"/>
          <w:b/>
        </w:rPr>
        <w:t>évaluer le statut tabagique</w:t>
      </w:r>
      <w:r w:rsidRPr="00A72C4E">
        <w:rPr>
          <w:rFonts w:ascii="Arial Narrow" w:hAnsi="Arial Narrow"/>
        </w:rPr>
        <w:t xml:space="preserve"> </w:t>
      </w:r>
      <w:r w:rsidR="00D34597" w:rsidRPr="003D5B9B">
        <w:rPr>
          <w:rFonts w:ascii="Arial Narrow" w:hAnsi="Arial Narrow"/>
        </w:rPr>
        <w:t>6 mois</w:t>
      </w:r>
      <w:r w:rsidRPr="00A72C4E">
        <w:rPr>
          <w:rFonts w:ascii="Arial Narrow" w:hAnsi="Arial Narrow"/>
        </w:rPr>
        <w:t xml:space="preserve">, après la date fixée pour l’arrêt </w:t>
      </w:r>
      <w:r w:rsidR="00550E74">
        <w:rPr>
          <w:rFonts w:ascii="Arial Narrow" w:hAnsi="Arial Narrow"/>
        </w:rPr>
        <w:t>/</w:t>
      </w:r>
      <w:r w:rsidRPr="00A72C4E">
        <w:rPr>
          <w:rFonts w:ascii="Arial Narrow" w:hAnsi="Arial Narrow"/>
        </w:rPr>
        <w:t xml:space="preserve"> réduction</w:t>
      </w:r>
      <w:r w:rsidR="00C830D7">
        <w:rPr>
          <w:rFonts w:ascii="Arial Narrow" w:hAnsi="Arial Narrow"/>
        </w:rPr>
        <w:t xml:space="preserve"> </w:t>
      </w:r>
      <w:r w:rsidR="00C830D7" w:rsidRPr="00A72C4E">
        <w:rPr>
          <w:rFonts w:ascii="Arial Narrow" w:hAnsi="Arial Narrow"/>
        </w:rPr>
        <w:t>tabagique</w:t>
      </w:r>
      <w:r w:rsidRPr="00A72C4E">
        <w:rPr>
          <w:rFonts w:ascii="Arial Narrow" w:hAnsi="Arial Narrow"/>
        </w:rPr>
        <w:t xml:space="preserve">, ou </w:t>
      </w:r>
      <w:r w:rsidR="00C830D7">
        <w:rPr>
          <w:rFonts w:ascii="Arial Narrow" w:hAnsi="Arial Narrow"/>
        </w:rPr>
        <w:t>à défaut</w:t>
      </w:r>
      <w:r w:rsidR="00993E91">
        <w:rPr>
          <w:rFonts w:ascii="Arial Narrow" w:hAnsi="Arial Narrow"/>
        </w:rPr>
        <w:t>,</w:t>
      </w:r>
      <w:r w:rsidR="00C830D7">
        <w:rPr>
          <w:rFonts w:ascii="Arial Narrow" w:hAnsi="Arial Narrow"/>
        </w:rPr>
        <w:t xml:space="preserve"> à celle </w:t>
      </w:r>
      <w:r w:rsidRPr="00A72C4E">
        <w:rPr>
          <w:rFonts w:ascii="Arial Narrow" w:hAnsi="Arial Narrow"/>
        </w:rPr>
        <w:t xml:space="preserve">de la fin du suivi réalisé (au minimum </w:t>
      </w:r>
      <w:r w:rsidR="00993E91">
        <w:rPr>
          <w:rFonts w:ascii="Arial Narrow" w:hAnsi="Arial Narrow"/>
        </w:rPr>
        <w:t xml:space="preserve">contact </w:t>
      </w:r>
      <w:r w:rsidRPr="00A72C4E">
        <w:rPr>
          <w:rFonts w:ascii="Arial Narrow" w:hAnsi="Arial Narrow"/>
        </w:rPr>
        <w:t>par courrier ou appel téléphonique).</w:t>
      </w:r>
    </w:p>
    <w:p w14:paraId="05B7909A" w14:textId="75061168" w:rsidR="003848A5" w:rsidRPr="00180EE4" w:rsidRDefault="00550E74" w:rsidP="00BF4983">
      <w:pPr>
        <w:pStyle w:val="Paragraphedeliste"/>
        <w:numPr>
          <w:ilvl w:val="0"/>
          <w:numId w:val="2"/>
        </w:numPr>
        <w:shd w:val="clear" w:color="auto" w:fill="FFFFFF"/>
        <w:rPr>
          <w:rFonts w:ascii="Arial Narrow" w:hAnsi="Arial Narrow"/>
        </w:rPr>
      </w:pPr>
      <w:r w:rsidRPr="00180EE4">
        <w:rPr>
          <w:rFonts w:ascii="Arial Narrow" w:hAnsi="Arial Narrow"/>
        </w:rPr>
        <w:t xml:space="preserve">Tenir un </w:t>
      </w:r>
      <w:r w:rsidRPr="00180EE4">
        <w:rPr>
          <w:rFonts w:ascii="Arial Narrow" w:hAnsi="Arial Narrow"/>
          <w:b/>
        </w:rPr>
        <w:t>registre nominatif</w:t>
      </w:r>
      <w:r w:rsidRPr="00180EE4">
        <w:rPr>
          <w:rFonts w:ascii="Arial Narrow" w:hAnsi="Arial Narrow"/>
        </w:rPr>
        <w:t xml:space="preserve"> des consultants et </w:t>
      </w:r>
      <w:r w:rsidR="00A2762F" w:rsidRPr="00180EE4">
        <w:rPr>
          <w:rFonts w:ascii="Arial Narrow" w:hAnsi="Arial Narrow"/>
        </w:rPr>
        <w:t>compléter</w:t>
      </w:r>
      <w:r w:rsidR="00961BE4" w:rsidRPr="00180EE4">
        <w:rPr>
          <w:rFonts w:ascii="Arial Narrow" w:hAnsi="Arial Narrow"/>
        </w:rPr>
        <w:t xml:space="preserve"> par année civile</w:t>
      </w:r>
      <w:r w:rsidR="00461555" w:rsidRPr="00180EE4">
        <w:rPr>
          <w:rFonts w:ascii="Arial Narrow" w:hAnsi="Arial Narrow"/>
        </w:rPr>
        <w:t>,</w:t>
      </w:r>
      <w:r w:rsidR="00961BE4" w:rsidRPr="00180EE4">
        <w:rPr>
          <w:rFonts w:ascii="Arial Narrow" w:hAnsi="Arial Narrow"/>
        </w:rPr>
        <w:t xml:space="preserve"> pour le 30 juin</w:t>
      </w:r>
      <w:r w:rsidR="00461555" w:rsidRPr="00180EE4">
        <w:rPr>
          <w:rFonts w:ascii="Arial Narrow" w:hAnsi="Arial Narrow"/>
        </w:rPr>
        <w:t xml:space="preserve"> de l’année suivante, un rapport d’activités </w:t>
      </w:r>
      <w:r w:rsidR="00A2762F" w:rsidRPr="00180EE4">
        <w:rPr>
          <w:rFonts w:ascii="Arial Narrow" w:hAnsi="Arial Narrow"/>
        </w:rPr>
        <w:t>en ligne sur le site du FARES</w:t>
      </w:r>
      <w:r w:rsidR="00961BE4" w:rsidRPr="00180EE4">
        <w:rPr>
          <w:rFonts w:ascii="Arial Narrow" w:hAnsi="Arial Narrow"/>
        </w:rPr>
        <w:t>. Ce rapport reprend</w:t>
      </w:r>
      <w:r w:rsidR="00993E91" w:rsidRPr="00180EE4">
        <w:rPr>
          <w:rFonts w:ascii="Arial Narrow" w:hAnsi="Arial Narrow"/>
        </w:rPr>
        <w:t xml:space="preserve"> au minimum le n</w:t>
      </w:r>
      <w:r w:rsidR="00795EB2" w:rsidRPr="00180EE4">
        <w:rPr>
          <w:rFonts w:ascii="Arial Narrow" w:hAnsi="Arial Narrow"/>
        </w:rPr>
        <w:t xml:space="preserve">ombre total de </w:t>
      </w:r>
      <w:proofErr w:type="gramStart"/>
      <w:r w:rsidR="00795EB2" w:rsidRPr="00180EE4">
        <w:rPr>
          <w:rFonts w:ascii="Arial Narrow" w:hAnsi="Arial Narrow"/>
        </w:rPr>
        <w:t>consultations</w:t>
      </w:r>
      <w:proofErr w:type="gramEnd"/>
      <w:r w:rsidR="00795EB2" w:rsidRPr="00180EE4">
        <w:rPr>
          <w:rFonts w:ascii="Arial Narrow" w:hAnsi="Arial Narrow"/>
        </w:rPr>
        <w:t xml:space="preserve"> tarifiées en tabacologie au cours de l’année par le médecin et/ou le(s)tabacologue(s) non médecin, </w:t>
      </w:r>
      <w:r w:rsidR="00992938" w:rsidRPr="00180EE4">
        <w:rPr>
          <w:rFonts w:ascii="Arial Narrow" w:hAnsi="Arial Narrow"/>
        </w:rPr>
        <w:t xml:space="preserve">le </w:t>
      </w:r>
      <w:r w:rsidR="00795EB2" w:rsidRPr="00180EE4">
        <w:rPr>
          <w:rFonts w:ascii="Arial Narrow" w:hAnsi="Arial Narrow"/>
        </w:rPr>
        <w:t xml:space="preserve">nombre total de patients suivis sur l’année et </w:t>
      </w:r>
      <w:r w:rsidR="00993E91" w:rsidRPr="00180EE4">
        <w:rPr>
          <w:rFonts w:ascii="Arial Narrow" w:hAnsi="Arial Narrow"/>
        </w:rPr>
        <w:t xml:space="preserve">le </w:t>
      </w:r>
      <w:r w:rsidR="00795EB2" w:rsidRPr="00180EE4">
        <w:rPr>
          <w:rFonts w:ascii="Arial Narrow" w:hAnsi="Arial Narrow"/>
        </w:rPr>
        <w:t xml:space="preserve">nombre </w:t>
      </w:r>
      <w:r w:rsidR="00993E91" w:rsidRPr="00180EE4">
        <w:rPr>
          <w:rFonts w:ascii="Arial Narrow" w:hAnsi="Arial Narrow"/>
        </w:rPr>
        <w:t xml:space="preserve">de </w:t>
      </w:r>
      <w:r w:rsidR="00795EB2" w:rsidRPr="00180EE4">
        <w:rPr>
          <w:rFonts w:ascii="Arial Narrow" w:hAnsi="Arial Narrow"/>
        </w:rPr>
        <w:t>nouveaux pat</w:t>
      </w:r>
      <w:r w:rsidRPr="00180EE4">
        <w:rPr>
          <w:rFonts w:ascii="Arial Narrow" w:hAnsi="Arial Narrow"/>
        </w:rPr>
        <w:t>ients inscrits pendant l’année).</w:t>
      </w:r>
    </w:p>
    <w:p w14:paraId="6E331EE9" w14:textId="77777777" w:rsidR="00566DCE" w:rsidRPr="00A72C4E" w:rsidRDefault="00566DCE" w:rsidP="00566DCE">
      <w:pPr>
        <w:numPr>
          <w:ilvl w:val="0"/>
          <w:numId w:val="2"/>
        </w:numPr>
        <w:rPr>
          <w:rFonts w:ascii="Arial Narrow" w:hAnsi="Arial Narrow"/>
        </w:rPr>
      </w:pPr>
      <w:r w:rsidRPr="00180EE4">
        <w:rPr>
          <w:rFonts w:ascii="Arial Narrow" w:hAnsi="Arial Narrow"/>
        </w:rPr>
        <w:t>Déléguer un membre de l’équipe</w:t>
      </w:r>
      <w:r w:rsidRPr="00A72C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aux </w:t>
      </w:r>
      <w:r w:rsidRPr="00566DCE">
        <w:rPr>
          <w:rFonts w:ascii="Arial Narrow" w:hAnsi="Arial Narrow"/>
          <w:b/>
        </w:rPr>
        <w:t>rencontres inter-CAF et à la rencontre annuelle</w:t>
      </w:r>
      <w:r w:rsidRPr="00A72C4E">
        <w:rPr>
          <w:rFonts w:ascii="Arial Narrow" w:hAnsi="Arial Narrow"/>
        </w:rPr>
        <w:t xml:space="preserve"> de tabacologie organisée par le FARES.</w:t>
      </w:r>
    </w:p>
    <w:p w14:paraId="3A35CEF9" w14:textId="77777777" w:rsidR="003753E1" w:rsidRPr="003753E1" w:rsidRDefault="00566DCE" w:rsidP="003753E1">
      <w:pPr>
        <w:numPr>
          <w:ilvl w:val="0"/>
          <w:numId w:val="2"/>
        </w:numPr>
        <w:shd w:val="clear" w:color="auto" w:fill="FFFFFF"/>
        <w:rPr>
          <w:rFonts w:ascii="Arial Narrow" w:hAnsi="Arial Narrow"/>
        </w:rPr>
      </w:pPr>
      <w:r w:rsidRPr="00566DCE">
        <w:rPr>
          <w:rFonts w:ascii="Arial Narrow" w:hAnsi="Arial Narrow"/>
          <w:b/>
        </w:rPr>
        <w:t xml:space="preserve">Différencier clairement </w:t>
      </w:r>
      <w:r w:rsidR="00C830D7" w:rsidRPr="00C830D7">
        <w:rPr>
          <w:rFonts w:ascii="Arial Narrow" w:hAnsi="Arial Narrow"/>
          <w:b/>
        </w:rPr>
        <w:t>d’un point de vue éthique</w:t>
      </w:r>
      <w:r w:rsidR="00C830D7" w:rsidRPr="00566DCE">
        <w:rPr>
          <w:rFonts w:ascii="Arial Narrow" w:hAnsi="Arial Narrow"/>
          <w:b/>
        </w:rPr>
        <w:t xml:space="preserve"> </w:t>
      </w:r>
      <w:r w:rsidRPr="00566DCE">
        <w:rPr>
          <w:rFonts w:ascii="Arial Narrow" w:hAnsi="Arial Narrow"/>
          <w:b/>
        </w:rPr>
        <w:t>les activités subsidiées par les pouvoirs publics</w:t>
      </w:r>
      <w:r w:rsidRPr="00566DCE">
        <w:rPr>
          <w:rFonts w:ascii="Arial Narrow" w:hAnsi="Arial Narrow"/>
        </w:rPr>
        <w:t>, de celles réalisées avec l’aide d’un sponsor privé.</w:t>
      </w:r>
    </w:p>
    <w:p w14:paraId="3D5209E3" w14:textId="77777777" w:rsidR="003753E1" w:rsidRPr="003753E1" w:rsidRDefault="00264648" w:rsidP="003753E1">
      <w:pPr>
        <w:rPr>
          <w:rFonts w:ascii="Arial Narrow" w:hAnsi="Arial Narrow"/>
          <w:sz w:val="14"/>
        </w:rPr>
      </w:pPr>
      <w:r w:rsidRPr="003753E1">
        <w:rPr>
          <w:rFonts w:ascii="Arial Narrow" w:hAnsi="Arial Narrow"/>
          <w:noProof/>
          <w:sz w:val="14"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BBFA58" wp14:editId="657FD6A3">
                <wp:simplePos x="0" y="0"/>
                <wp:positionH relativeFrom="column">
                  <wp:posOffset>4080510</wp:posOffset>
                </wp:positionH>
                <wp:positionV relativeFrom="paragraph">
                  <wp:posOffset>61595</wp:posOffset>
                </wp:positionV>
                <wp:extent cx="2586990" cy="1162685"/>
                <wp:effectExtent l="13335" t="6350" r="952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F0490" w14:textId="77777777" w:rsidR="003753E1" w:rsidRPr="003753E1" w:rsidRDefault="003753E1">
                            <w:pPr>
                              <w:rPr>
                                <w:sz w:val="18"/>
                              </w:rPr>
                            </w:pPr>
                            <w:r w:rsidRPr="003753E1">
                              <w:rPr>
                                <w:rFonts w:ascii="Arial Narrow" w:hAnsi="Arial Narrow"/>
                                <w:sz w:val="18"/>
                              </w:rPr>
                              <w:t>Cachet du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BFA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3pt;margin-top:4.85pt;width:203.7pt;height:9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">
                <v:textbox>
                  <w:txbxContent>
                    <w:p w14:paraId="7BDF0490" w14:textId="77777777" w:rsidR="003753E1" w:rsidRPr="003753E1" w:rsidRDefault="003753E1">
                      <w:pPr>
                        <w:rPr>
                          <w:sz w:val="18"/>
                        </w:rPr>
                      </w:pPr>
                      <w:r w:rsidRPr="003753E1">
                        <w:rPr>
                          <w:rFonts w:ascii="Arial Narrow" w:hAnsi="Arial Narrow"/>
                          <w:sz w:val="18"/>
                        </w:rPr>
                        <w:t>Cachet du Centre</w:t>
                      </w:r>
                    </w:p>
                  </w:txbxContent>
                </v:textbox>
              </v:shape>
            </w:pict>
          </mc:Fallback>
        </mc:AlternateContent>
      </w:r>
    </w:p>
    <w:p w14:paraId="0F5224BB" w14:textId="77777777" w:rsidR="003753E1" w:rsidRDefault="003753E1" w:rsidP="003753E1">
      <w:pPr>
        <w:shd w:val="clear" w:color="auto" w:fill="FFFFFF"/>
        <w:ind w:left="709"/>
        <w:rPr>
          <w:rFonts w:ascii="Arial Narrow" w:hAnsi="Arial Narrow"/>
        </w:rPr>
      </w:pPr>
      <w:r>
        <w:rPr>
          <w:rFonts w:ascii="Arial Narrow" w:hAnsi="Arial Narrow"/>
        </w:rPr>
        <w:t xml:space="preserve">Date : </w:t>
      </w:r>
    </w:p>
    <w:p w14:paraId="5D57D68D" w14:textId="77777777" w:rsidR="003753E1" w:rsidRDefault="003753E1" w:rsidP="003753E1">
      <w:pPr>
        <w:shd w:val="clear" w:color="auto" w:fill="FFFFFF"/>
        <w:ind w:left="709"/>
        <w:rPr>
          <w:rFonts w:ascii="Arial Narrow" w:hAnsi="Arial Narrow"/>
        </w:rPr>
      </w:pPr>
      <w:r>
        <w:rPr>
          <w:rFonts w:ascii="Arial Narrow" w:hAnsi="Arial Narrow"/>
        </w:rPr>
        <w:t>Pour accord,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DCEB70B" w14:textId="77777777" w:rsidR="003753E1" w:rsidRDefault="003753E1" w:rsidP="003753E1">
      <w:pPr>
        <w:shd w:val="clear" w:color="auto" w:fill="FFFFFF"/>
        <w:ind w:left="709"/>
        <w:rPr>
          <w:rFonts w:ascii="Arial Narrow" w:hAnsi="Arial Narrow"/>
        </w:rPr>
      </w:pPr>
    </w:p>
    <w:p w14:paraId="4E50CFFA" w14:textId="77777777" w:rsidR="003753E1" w:rsidRDefault="003753E1" w:rsidP="003753E1">
      <w:pPr>
        <w:shd w:val="clear" w:color="auto" w:fill="FFFFFF"/>
        <w:ind w:left="709"/>
        <w:rPr>
          <w:rFonts w:ascii="Arial Narrow" w:hAnsi="Arial Narrow"/>
        </w:rPr>
      </w:pPr>
    </w:p>
    <w:p w14:paraId="0D477F64" w14:textId="77777777" w:rsidR="003753E1" w:rsidRDefault="003753E1" w:rsidP="003753E1">
      <w:pPr>
        <w:shd w:val="clear" w:color="auto" w:fill="FFFFFF"/>
        <w:ind w:left="709"/>
        <w:rPr>
          <w:rFonts w:ascii="Arial Narrow" w:hAnsi="Arial Narrow"/>
        </w:rPr>
      </w:pPr>
    </w:p>
    <w:p w14:paraId="0AEEE371" w14:textId="77777777" w:rsidR="003753E1" w:rsidRDefault="003753E1" w:rsidP="003753E1">
      <w:pPr>
        <w:shd w:val="clear" w:color="auto" w:fill="FFFFFF"/>
        <w:ind w:left="709"/>
        <w:rPr>
          <w:rFonts w:ascii="Arial Narrow" w:hAnsi="Arial Narrow"/>
        </w:rPr>
      </w:pPr>
    </w:p>
    <w:p w14:paraId="09981DCD" w14:textId="77777777" w:rsidR="003753E1" w:rsidRDefault="003753E1" w:rsidP="003753E1">
      <w:pPr>
        <w:shd w:val="clear" w:color="auto" w:fill="FFFFFF"/>
        <w:ind w:left="709"/>
        <w:rPr>
          <w:rFonts w:ascii="Arial Narrow" w:hAnsi="Arial Narrow"/>
        </w:rPr>
      </w:pPr>
      <w:r>
        <w:rPr>
          <w:rFonts w:ascii="Arial Narrow" w:hAnsi="Arial Narrow"/>
        </w:rPr>
        <w:t xml:space="preserve">Médecin Responsable </w:t>
      </w:r>
    </w:p>
    <w:sectPr w:rsidR="003753E1" w:rsidSect="003753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55B4" w14:textId="77777777" w:rsidR="00A36A2A" w:rsidRDefault="00A36A2A" w:rsidP="008B52A2">
      <w:r>
        <w:separator/>
      </w:r>
    </w:p>
  </w:endnote>
  <w:endnote w:type="continuationSeparator" w:id="0">
    <w:p w14:paraId="3CC8325A" w14:textId="77777777" w:rsidR="00A36A2A" w:rsidRDefault="00A36A2A" w:rsidP="008B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6066" w14:textId="77777777" w:rsidR="00180EE4" w:rsidRDefault="00180E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689B" w14:textId="77777777" w:rsidR="004E0977" w:rsidRDefault="004E0977" w:rsidP="003753E1">
    <w:pPr>
      <w:pStyle w:val="Pieddepage"/>
      <w:jc w:val="center"/>
      <w:rPr>
        <w:sz w:val="16"/>
      </w:rPr>
    </w:pPr>
  </w:p>
  <w:p w14:paraId="6542C439" w14:textId="5F3E6BF2" w:rsidR="00CE7B4F" w:rsidRPr="003753E1" w:rsidRDefault="003753E1" w:rsidP="003753E1">
    <w:pPr>
      <w:pStyle w:val="Pieddepage"/>
      <w:jc w:val="center"/>
      <w:rPr>
        <w:sz w:val="16"/>
      </w:rPr>
    </w:pPr>
    <w:r w:rsidRPr="003753E1">
      <w:rPr>
        <w:sz w:val="16"/>
      </w:rPr>
      <w:t xml:space="preserve">Charte d’Assurance de qualité des Centres d’Aide aux Fumeurs </w:t>
    </w:r>
    <w:r w:rsidR="00D34597">
      <w:rPr>
        <w:sz w:val="16"/>
      </w:rPr>
      <w:t>–</w:t>
    </w:r>
    <w:r w:rsidRPr="003753E1">
      <w:rPr>
        <w:sz w:val="16"/>
      </w:rPr>
      <w:t xml:space="preserve"> CAF</w:t>
    </w:r>
    <w:r w:rsidR="00D34597">
      <w:rPr>
        <w:sz w:val="16"/>
      </w:rPr>
      <w:t xml:space="preserve"> – </w:t>
    </w:r>
    <w:r w:rsidR="004E0977">
      <w:rPr>
        <w:sz w:val="16"/>
      </w:rPr>
      <w:t xml:space="preserve">actualisée le </w:t>
    </w:r>
    <w:r w:rsidR="00180EE4">
      <w:rPr>
        <w:sz w:val="16"/>
      </w:rPr>
      <w:t>21-04-22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D5BA" w14:textId="77777777" w:rsidR="00180EE4" w:rsidRDefault="00180E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7D5C" w14:textId="77777777" w:rsidR="00A36A2A" w:rsidRDefault="00A36A2A" w:rsidP="008B52A2">
      <w:r>
        <w:separator/>
      </w:r>
    </w:p>
  </w:footnote>
  <w:footnote w:type="continuationSeparator" w:id="0">
    <w:p w14:paraId="3CF5DDC6" w14:textId="77777777" w:rsidR="00A36A2A" w:rsidRDefault="00A36A2A" w:rsidP="008B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D6F5" w14:textId="77777777" w:rsidR="00180EE4" w:rsidRDefault="00180E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1B3D" w14:textId="77777777" w:rsidR="00180EE4" w:rsidRDefault="00180E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9A89" w14:textId="77777777" w:rsidR="00180EE4" w:rsidRDefault="00180E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101"/>
    <w:multiLevelType w:val="hybridMultilevel"/>
    <w:tmpl w:val="DC82FA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C4BFC"/>
    <w:multiLevelType w:val="multilevel"/>
    <w:tmpl w:val="6D749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73A4E5B"/>
    <w:multiLevelType w:val="hybridMultilevel"/>
    <w:tmpl w:val="595212FE"/>
    <w:lvl w:ilvl="0" w:tplc="FFFFFFFF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3F6C"/>
    <w:multiLevelType w:val="hybridMultilevel"/>
    <w:tmpl w:val="3F364DA4"/>
    <w:lvl w:ilvl="0" w:tplc="040C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D">
      <w:start w:val="1"/>
      <w:numFmt w:val="bullet"/>
      <w:lvlText w:val="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83"/>
    <w:rsid w:val="00056F4F"/>
    <w:rsid w:val="00081355"/>
    <w:rsid w:val="000D52E8"/>
    <w:rsid w:val="000E6753"/>
    <w:rsid w:val="001038CD"/>
    <w:rsid w:val="00143FFF"/>
    <w:rsid w:val="00174BEF"/>
    <w:rsid w:val="00175E91"/>
    <w:rsid w:val="00180EE4"/>
    <w:rsid w:val="00186733"/>
    <w:rsid w:val="00191095"/>
    <w:rsid w:val="001D3924"/>
    <w:rsid w:val="001F4532"/>
    <w:rsid w:val="00215381"/>
    <w:rsid w:val="00264648"/>
    <w:rsid w:val="002E3F6D"/>
    <w:rsid w:val="00300615"/>
    <w:rsid w:val="003408C8"/>
    <w:rsid w:val="003753E1"/>
    <w:rsid w:val="00381022"/>
    <w:rsid w:val="003848A5"/>
    <w:rsid w:val="003D5B9B"/>
    <w:rsid w:val="003F2510"/>
    <w:rsid w:val="004075D5"/>
    <w:rsid w:val="00461555"/>
    <w:rsid w:val="0048716A"/>
    <w:rsid w:val="004E0977"/>
    <w:rsid w:val="005273C0"/>
    <w:rsid w:val="00550E74"/>
    <w:rsid w:val="005533E6"/>
    <w:rsid w:val="00566DCE"/>
    <w:rsid w:val="00581146"/>
    <w:rsid w:val="00594C61"/>
    <w:rsid w:val="00596B22"/>
    <w:rsid w:val="006932C2"/>
    <w:rsid w:val="006A0E90"/>
    <w:rsid w:val="006A75D6"/>
    <w:rsid w:val="007269E3"/>
    <w:rsid w:val="00753D88"/>
    <w:rsid w:val="00784BE3"/>
    <w:rsid w:val="00795EB2"/>
    <w:rsid w:val="008068F9"/>
    <w:rsid w:val="00817B2E"/>
    <w:rsid w:val="00860374"/>
    <w:rsid w:val="008B0F2A"/>
    <w:rsid w:val="008B4C83"/>
    <w:rsid w:val="008B52A2"/>
    <w:rsid w:val="008F174E"/>
    <w:rsid w:val="00917986"/>
    <w:rsid w:val="0092005C"/>
    <w:rsid w:val="00944FBE"/>
    <w:rsid w:val="00947C63"/>
    <w:rsid w:val="00955F9E"/>
    <w:rsid w:val="00961BE4"/>
    <w:rsid w:val="00992938"/>
    <w:rsid w:val="00993E91"/>
    <w:rsid w:val="009E5A24"/>
    <w:rsid w:val="00A2762F"/>
    <w:rsid w:val="00A30BE2"/>
    <w:rsid w:val="00A36A2A"/>
    <w:rsid w:val="00A470B6"/>
    <w:rsid w:val="00A844D4"/>
    <w:rsid w:val="00B53CD2"/>
    <w:rsid w:val="00B75272"/>
    <w:rsid w:val="00BA1913"/>
    <w:rsid w:val="00BE3910"/>
    <w:rsid w:val="00BF4983"/>
    <w:rsid w:val="00C15709"/>
    <w:rsid w:val="00C63F0F"/>
    <w:rsid w:val="00C830D7"/>
    <w:rsid w:val="00CE3145"/>
    <w:rsid w:val="00CE7B4F"/>
    <w:rsid w:val="00D34597"/>
    <w:rsid w:val="00D832C9"/>
    <w:rsid w:val="00DF75E1"/>
    <w:rsid w:val="00E16DB0"/>
    <w:rsid w:val="00E964EA"/>
    <w:rsid w:val="00F20B92"/>
    <w:rsid w:val="00F52E6E"/>
    <w:rsid w:val="00F914AF"/>
    <w:rsid w:val="00F9692D"/>
    <w:rsid w:val="00FA75C0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5166"/>
  <w15:chartTrackingRefBased/>
  <w15:docId w15:val="{ED86BE21-20DE-4467-8D69-D3429143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983"/>
    <w:pPr>
      <w:jc w:val="both"/>
    </w:pPr>
    <w:rPr>
      <w:rFonts w:ascii="Times New Roman" w:eastAsia="Times New Roman" w:hAnsi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F4983"/>
    <w:pPr>
      <w:keepNext/>
      <w:tabs>
        <w:tab w:val="left" w:pos="3969"/>
      </w:tabs>
      <w:spacing w:before="240" w:after="240"/>
      <w:outlineLvl w:val="0"/>
    </w:pPr>
    <w:rPr>
      <w:rFonts w:ascii="Century Gothic" w:hAnsi="Century Gothic"/>
      <w:b/>
      <w:lang w:val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F4983"/>
    <w:rPr>
      <w:rFonts w:ascii="Century Gothic" w:eastAsia="Times New Roman" w:hAnsi="Century Gothic" w:cs="Times New Roman"/>
      <w:b/>
      <w:sz w:val="24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phedeliste">
    <w:name w:val="List Paragraph"/>
    <w:basedOn w:val="Normal"/>
    <w:uiPriority w:val="34"/>
    <w:qFormat/>
    <w:rsid w:val="00BF498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52A2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8B52A2"/>
    <w:rPr>
      <w:rFonts w:ascii="Times New Roman" w:eastAsia="Times New Roman" w:hAnsi="Times New Roman"/>
      <w:lang w:val="fr-BE"/>
    </w:rPr>
  </w:style>
  <w:style w:type="character" w:styleId="Appelnotedebasdep">
    <w:name w:val="footnote reference"/>
    <w:uiPriority w:val="99"/>
    <w:semiHidden/>
    <w:unhideWhenUsed/>
    <w:rsid w:val="008B52A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B52A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52A2"/>
    <w:rPr>
      <w:rFonts w:ascii="Times New Roman" w:eastAsia="Times New Roman" w:hAnsi="Times New Roman"/>
      <w:sz w:val="24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8B52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52A2"/>
    <w:rPr>
      <w:rFonts w:ascii="Times New Roman" w:eastAsia="Times New Roman" w:hAnsi="Times New Roman"/>
      <w:sz w:val="24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2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52A2"/>
    <w:rPr>
      <w:rFonts w:ascii="Tahoma" w:eastAsia="Times New Roman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D42FC7925C1409A07511595518AB3" ma:contentTypeVersion="13" ma:contentTypeDescription="Crée un document." ma:contentTypeScope="" ma:versionID="19931ad9580c43cda1dd65d05dc17b38">
  <xsd:schema xmlns:xsd="http://www.w3.org/2001/XMLSchema" xmlns:xs="http://www.w3.org/2001/XMLSchema" xmlns:p="http://schemas.microsoft.com/office/2006/metadata/properties" xmlns:ns2="8dae6316-da62-4cfc-b7ba-e0cb1d89d18d" xmlns:ns3="f843dc49-78b7-4550-b474-4172d4f9b3b3" targetNamespace="http://schemas.microsoft.com/office/2006/metadata/properties" ma:root="true" ma:fieldsID="c27514091c7e292833582219b0af703e" ns2:_="" ns3:_="">
    <xsd:import namespace="8dae6316-da62-4cfc-b7ba-e0cb1d89d18d"/>
    <xsd:import namespace="f843dc49-78b7-4550-b474-4172d4f9b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6316-da62-4cfc-b7ba-e0cb1d89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dc49-78b7-4550-b474-4172d4f9b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54B9B-AA0A-401E-B669-05C9B2C58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6D7DB-6937-4466-97F2-84D63FE8E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ABE4B-EFFC-40D0-A456-0F07581BC1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FD9531-3948-432C-85B2-ABDFB6ABB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e6316-da62-4cfc-b7ba-e0cb1d89d18d"/>
    <ds:schemaRef ds:uri="f843dc49-78b7-4550-b474-4172d4f9b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caroline.rasson</dc:creator>
  <cp:keywords/>
  <dc:description/>
  <cp:lastModifiedBy>Fabienne DE VOS</cp:lastModifiedBy>
  <cp:revision>3</cp:revision>
  <cp:lastPrinted>2012-04-06T08:00:00Z</cp:lastPrinted>
  <dcterms:created xsi:type="dcterms:W3CDTF">2022-04-26T06:41:00Z</dcterms:created>
  <dcterms:modified xsi:type="dcterms:W3CDTF">2022-04-26T06:41:00Z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0x010100E47D42FC7925C1409A07511595518AB3</vt:lpwstr>
  </property>
  <property fmtid="{D5CDD505-2E9C-101B-9397-08002B2CF9AE}" pid="3" name="Order">
    <vt:r8>3359600</vt:r8>
  </property>
</Properties>
</file>